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304" w:rsidRDefault="00B51304" w:rsidP="001073E5">
      <w:pPr>
        <w:pStyle w:val="Title"/>
        <w:tabs>
          <w:tab w:val="center" w:pos="5304"/>
        </w:tabs>
        <w:jc w:val="left"/>
        <w:outlineLv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JUNIOR </w:t>
      </w:r>
      <w:r w:rsidRPr="00A57D57">
        <w:rPr>
          <w:rFonts w:ascii="Calibri" w:hAnsi="Calibri"/>
          <w:sz w:val="24"/>
          <w:szCs w:val="24"/>
        </w:rPr>
        <w:t xml:space="preserve">RESEARCH </w:t>
      </w: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73B0FC1" wp14:editId="5FD850DA">
            <wp:simplePos x="0" y="0"/>
            <wp:positionH relativeFrom="column">
              <wp:posOffset>3494405</wp:posOffset>
            </wp:positionH>
            <wp:positionV relativeFrom="paragraph">
              <wp:posOffset>-59690</wp:posOffset>
            </wp:positionV>
            <wp:extent cx="3249295" cy="506095"/>
            <wp:effectExtent l="0" t="0" r="8255" b="8255"/>
            <wp:wrapNone/>
            <wp:docPr id="12" name="Picture 8" descr="wcc-wordmark-bw-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cc-wordmark-bw-200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7D57">
        <w:rPr>
          <w:rFonts w:ascii="Calibri" w:hAnsi="Calibri"/>
          <w:sz w:val="24"/>
          <w:szCs w:val="24"/>
        </w:rPr>
        <w:t>FELLOWSHIP (TITLE BI) 20</w:t>
      </w:r>
      <w:r w:rsidR="007C77D6">
        <w:rPr>
          <w:rFonts w:ascii="Calibri" w:hAnsi="Calibri"/>
          <w:sz w:val="24"/>
          <w:szCs w:val="24"/>
        </w:rPr>
        <w:t>20</w:t>
      </w:r>
    </w:p>
    <w:p w:rsidR="00B51304" w:rsidRDefault="00B51304" w:rsidP="00B51304">
      <w:pPr>
        <w:pStyle w:val="Title"/>
        <w:jc w:val="left"/>
        <w:outlineLv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FREQUENTLY ASKED QUESTIONS</w:t>
      </w:r>
    </w:p>
    <w:p w:rsidR="00B51304" w:rsidRDefault="00B51304" w:rsidP="00B51304">
      <w:pPr>
        <w:tabs>
          <w:tab w:val="left" w:pos="-1440"/>
          <w:tab w:val="left" w:pos="840"/>
          <w:tab w:val="left" w:pos="1440"/>
          <w:tab w:val="left" w:pos="2280"/>
          <w:tab w:val="left" w:pos="4320"/>
          <w:tab w:val="left" w:pos="6840"/>
        </w:tabs>
        <w:suppressAutoHyphens/>
        <w:spacing w:line="254" w:lineRule="exact"/>
        <w:rPr>
          <w:rFonts w:ascii="Calibri" w:hAnsi="Calibri"/>
          <w:spacing w:val="-3"/>
          <w:szCs w:val="24"/>
        </w:rPr>
      </w:pPr>
    </w:p>
    <w:p w:rsidR="00E80939" w:rsidRPr="00E80939" w:rsidRDefault="00E80939" w:rsidP="00B51304">
      <w:pPr>
        <w:tabs>
          <w:tab w:val="left" w:pos="-1440"/>
          <w:tab w:val="left" w:pos="840"/>
          <w:tab w:val="left" w:pos="1440"/>
          <w:tab w:val="left" w:pos="2280"/>
          <w:tab w:val="left" w:pos="4320"/>
          <w:tab w:val="left" w:pos="6840"/>
        </w:tabs>
        <w:suppressAutoHyphens/>
        <w:spacing w:line="254" w:lineRule="exact"/>
        <w:rPr>
          <w:rFonts w:asciiTheme="minorHAnsi" w:hAnsiTheme="minorHAnsi"/>
          <w:spacing w:val="-3"/>
          <w:szCs w:val="24"/>
        </w:rPr>
      </w:pPr>
    </w:p>
    <w:p w:rsidR="00E80939" w:rsidRDefault="00E80939" w:rsidP="00E80939">
      <w:pPr>
        <w:jc w:val="center"/>
        <w:rPr>
          <w:rFonts w:asciiTheme="minorHAnsi" w:hAnsiTheme="minorHAnsi"/>
        </w:rPr>
      </w:pPr>
    </w:p>
    <w:p w:rsidR="00E80939" w:rsidRDefault="00E80939" w:rsidP="00E80939">
      <w:pPr>
        <w:jc w:val="center"/>
        <w:rPr>
          <w:rFonts w:asciiTheme="minorHAnsi" w:hAnsiTheme="minorHAnsi"/>
        </w:rPr>
      </w:pPr>
    </w:p>
    <w:tbl>
      <w:tblPr>
        <w:tblStyle w:val="TableGrid"/>
        <w:tblW w:w="10632" w:type="dxa"/>
        <w:tblLook w:val="04A0" w:firstRow="1" w:lastRow="0" w:firstColumn="1" w:lastColumn="0" w:noHBand="0" w:noVBand="1"/>
      </w:tblPr>
      <w:tblGrid>
        <w:gridCol w:w="4537"/>
        <w:gridCol w:w="6095"/>
      </w:tblGrid>
      <w:tr w:rsidR="00B663B0" w:rsidRPr="00BD091A" w:rsidTr="00B51304">
        <w:tc>
          <w:tcPr>
            <w:tcW w:w="4537" w:type="dxa"/>
            <w:shd w:val="clear" w:color="auto" w:fill="6393A2"/>
            <w:vAlign w:val="bottom"/>
          </w:tcPr>
          <w:p w:rsidR="00B663B0" w:rsidRDefault="00B663B0" w:rsidP="00BD091A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</w:p>
          <w:p w:rsidR="00B663B0" w:rsidRPr="00BD091A" w:rsidRDefault="00B663B0" w:rsidP="00BD091A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BD091A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 xml:space="preserve">Question </w:t>
            </w:r>
          </w:p>
          <w:p w:rsidR="00B663B0" w:rsidRPr="00BD091A" w:rsidRDefault="00B663B0" w:rsidP="00BD091A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6393A2"/>
            <w:vAlign w:val="center"/>
          </w:tcPr>
          <w:p w:rsidR="00B663B0" w:rsidRPr="00BD091A" w:rsidRDefault="00B663B0" w:rsidP="00BD091A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BD091A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Answer</w:t>
            </w:r>
          </w:p>
        </w:tc>
      </w:tr>
      <w:tr w:rsidR="00B663B0" w:rsidRPr="00BD091A" w:rsidTr="00E4296F">
        <w:trPr>
          <w:trHeight w:val="606"/>
        </w:trPr>
        <w:tc>
          <w:tcPr>
            <w:tcW w:w="4537" w:type="dxa"/>
          </w:tcPr>
          <w:p w:rsidR="00B663B0" w:rsidRPr="00BD091A" w:rsidRDefault="00B663B0" w:rsidP="00E4296F">
            <w:pPr>
              <w:rPr>
                <w:rFonts w:asciiTheme="minorHAnsi" w:hAnsiTheme="minorHAnsi"/>
                <w:sz w:val="22"/>
                <w:szCs w:val="22"/>
              </w:rPr>
            </w:pPr>
            <w:r w:rsidRPr="00BD091A">
              <w:rPr>
                <w:rFonts w:asciiTheme="minorHAnsi" w:hAnsiTheme="minorHAnsi"/>
                <w:sz w:val="22"/>
                <w:szCs w:val="22"/>
              </w:rPr>
              <w:t xml:space="preserve">Age </w:t>
            </w: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Pr="00BD091A">
              <w:rPr>
                <w:rFonts w:asciiTheme="minorHAnsi" w:hAnsiTheme="minorHAnsi"/>
                <w:sz w:val="22"/>
                <w:szCs w:val="22"/>
              </w:rPr>
              <w:t xml:space="preserve"> is there a</w:t>
            </w: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Pr="00BD091A">
              <w:rPr>
                <w:rFonts w:asciiTheme="minorHAnsi" w:hAnsiTheme="minorHAnsi"/>
                <w:sz w:val="22"/>
                <w:szCs w:val="22"/>
              </w:rPr>
              <w:t xml:space="preserve"> age limit</w:t>
            </w:r>
            <w:r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6095" w:type="dxa"/>
          </w:tcPr>
          <w:p w:rsidR="00B663B0" w:rsidRPr="00BD091A" w:rsidRDefault="00B663B0" w:rsidP="00A604A0">
            <w:pPr>
              <w:rPr>
                <w:rFonts w:asciiTheme="minorHAnsi" w:hAnsiTheme="minorHAnsi"/>
                <w:sz w:val="22"/>
                <w:szCs w:val="22"/>
              </w:rPr>
            </w:pPr>
            <w:r w:rsidRPr="00BD091A">
              <w:rPr>
                <w:rFonts w:asciiTheme="minorHAnsi" w:hAnsiTheme="minorHAnsi"/>
                <w:sz w:val="22"/>
                <w:szCs w:val="22"/>
              </w:rPr>
              <w:t>No, the main criteri</w:t>
            </w: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Pr="00BD091A">
              <w:rPr>
                <w:rFonts w:asciiTheme="minorHAnsi" w:hAnsiTheme="minorHAnsi"/>
                <w:sz w:val="22"/>
                <w:szCs w:val="22"/>
              </w:rPr>
              <w:t xml:space="preserve"> are </w:t>
            </w:r>
            <w:r w:rsidR="00A604A0">
              <w:rPr>
                <w:rFonts w:asciiTheme="minorHAnsi" w:hAnsiTheme="minorHAnsi"/>
                <w:sz w:val="22"/>
                <w:szCs w:val="22"/>
              </w:rPr>
              <w:t xml:space="preserve">academic achievement and potential relative to </w:t>
            </w:r>
            <w:r>
              <w:rPr>
                <w:rFonts w:asciiTheme="minorHAnsi" w:hAnsiTheme="minorHAnsi"/>
                <w:sz w:val="22"/>
                <w:szCs w:val="22"/>
              </w:rPr>
              <w:t>your academic research career to date,</w:t>
            </w:r>
            <w:r w:rsidRPr="00BD091A">
              <w:rPr>
                <w:rFonts w:asciiTheme="minorHAnsi" w:hAnsiTheme="minorHAnsi"/>
                <w:sz w:val="22"/>
                <w:szCs w:val="22"/>
              </w:rPr>
              <w:t xml:space="preserve"> with priority given to </w:t>
            </w:r>
            <w:r>
              <w:rPr>
                <w:rFonts w:asciiTheme="minorHAnsi" w:hAnsiTheme="minorHAnsi"/>
                <w:sz w:val="22"/>
                <w:szCs w:val="22"/>
              </w:rPr>
              <w:t>those early in their careers.</w:t>
            </w:r>
          </w:p>
        </w:tc>
      </w:tr>
      <w:tr w:rsidR="00B663B0" w:rsidRPr="00BD091A" w:rsidTr="00B51304">
        <w:tc>
          <w:tcPr>
            <w:tcW w:w="4537" w:type="dxa"/>
          </w:tcPr>
          <w:p w:rsidR="00B663B0" w:rsidRPr="00BD091A" w:rsidRDefault="00B663B0" w:rsidP="00FC7D26">
            <w:pPr>
              <w:rPr>
                <w:rFonts w:asciiTheme="minorHAnsi" w:hAnsiTheme="minorHAnsi"/>
                <w:sz w:val="22"/>
                <w:szCs w:val="22"/>
              </w:rPr>
            </w:pPr>
            <w:r w:rsidRPr="00BD091A">
              <w:rPr>
                <w:rFonts w:asciiTheme="minorHAnsi" w:hAnsiTheme="minorHAnsi"/>
                <w:sz w:val="22"/>
                <w:szCs w:val="22"/>
              </w:rPr>
              <w:t xml:space="preserve">Eligibility </w:t>
            </w: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Pr="001073E5">
              <w:rPr>
                <w:rFonts w:ascii="Calibri" w:hAnsi="Calibri" w:cs="Calibri"/>
                <w:sz w:val="22"/>
                <w:szCs w:val="22"/>
              </w:rPr>
              <w:t xml:space="preserve"> can I apply if I am 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Pr="001073E5">
              <w:rPr>
                <w:rFonts w:ascii="Calibri" w:hAnsi="Calibri" w:cs="Calibri"/>
                <w:sz w:val="22"/>
                <w:szCs w:val="22"/>
              </w:rPr>
              <w:t xml:space="preserve"> PhD stu</w:t>
            </w:r>
            <w:r>
              <w:rPr>
                <w:rFonts w:ascii="Calibri" w:hAnsi="Calibri" w:cs="Calibri"/>
                <w:sz w:val="22"/>
                <w:szCs w:val="22"/>
              </w:rPr>
              <w:t>dent in my final year</w:t>
            </w:r>
            <w:r w:rsidRPr="001073E5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6095" w:type="dxa"/>
          </w:tcPr>
          <w:p w:rsidR="00B663B0" w:rsidRPr="00BD091A" w:rsidRDefault="00B663B0" w:rsidP="00E80939">
            <w:pPr>
              <w:rPr>
                <w:rFonts w:asciiTheme="minorHAnsi" w:hAnsiTheme="minorHAnsi"/>
                <w:sz w:val="22"/>
                <w:szCs w:val="22"/>
              </w:rPr>
            </w:pPr>
            <w:r w:rsidRPr="00BD091A">
              <w:rPr>
                <w:rFonts w:asciiTheme="minorHAnsi" w:hAnsiTheme="minorHAnsi"/>
                <w:sz w:val="22"/>
                <w:szCs w:val="22"/>
              </w:rPr>
              <w:t>Yes, if you are submitting your PhD before your JRF tenure begins.</w:t>
            </w:r>
          </w:p>
        </w:tc>
      </w:tr>
      <w:tr w:rsidR="00B663B0" w:rsidRPr="00BD091A" w:rsidTr="00B51304">
        <w:tc>
          <w:tcPr>
            <w:tcW w:w="4537" w:type="dxa"/>
          </w:tcPr>
          <w:p w:rsidR="00B663B0" w:rsidRPr="00BD091A" w:rsidRDefault="00B663B0" w:rsidP="00D72F9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Eligibility - do I have to have work in a University department or allied institution?</w:t>
            </w:r>
          </w:p>
        </w:tc>
        <w:tc>
          <w:tcPr>
            <w:tcW w:w="6095" w:type="dxa"/>
          </w:tcPr>
          <w:p w:rsidR="00B663B0" w:rsidRDefault="007C77D6" w:rsidP="007C77D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Yes.</w:t>
            </w:r>
          </w:p>
        </w:tc>
      </w:tr>
      <w:tr w:rsidR="00B663B0" w:rsidRPr="00BD091A" w:rsidTr="00B51304">
        <w:tc>
          <w:tcPr>
            <w:tcW w:w="4537" w:type="dxa"/>
          </w:tcPr>
          <w:p w:rsidR="00B663B0" w:rsidRPr="00BD091A" w:rsidRDefault="00B663B0" w:rsidP="001073E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Eligibility - do I have to live in Cambridge?</w:t>
            </w:r>
          </w:p>
        </w:tc>
        <w:tc>
          <w:tcPr>
            <w:tcW w:w="6095" w:type="dxa"/>
          </w:tcPr>
          <w:p w:rsidR="00B663B0" w:rsidRPr="00BD091A" w:rsidRDefault="00290A47" w:rsidP="00290A4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 order to make an effective contribution to College life a JRF should normally live in, or within reasonable travelling distance of Cambridge. In addition, the College has arrangements to permit a JRF to ‘work away’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to undertake fieldwork.</w:t>
            </w:r>
          </w:p>
        </w:tc>
      </w:tr>
      <w:tr w:rsidR="00B663B0" w:rsidRPr="00BD091A" w:rsidTr="00D96AC5">
        <w:tc>
          <w:tcPr>
            <w:tcW w:w="4537" w:type="dxa"/>
          </w:tcPr>
          <w:p w:rsidR="00B663B0" w:rsidRDefault="00B663B0" w:rsidP="001513F9">
            <w:pPr>
              <w:rPr>
                <w:rFonts w:asciiTheme="minorHAnsi" w:hAnsiTheme="minorHAnsi"/>
                <w:sz w:val="22"/>
                <w:szCs w:val="22"/>
              </w:rPr>
            </w:pPr>
            <w:r w:rsidRPr="00BD091A">
              <w:rPr>
                <w:rFonts w:asciiTheme="minorHAnsi" w:hAnsiTheme="minorHAnsi"/>
                <w:sz w:val="22"/>
                <w:szCs w:val="22"/>
              </w:rPr>
              <w:t>Eligibility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how long after completing a PhD can I apply?</w:t>
            </w:r>
          </w:p>
        </w:tc>
        <w:tc>
          <w:tcPr>
            <w:tcW w:w="6095" w:type="dxa"/>
          </w:tcPr>
          <w:p w:rsidR="00B663B0" w:rsidRDefault="00B663B0" w:rsidP="001073E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 more than five years after completion.</w:t>
            </w:r>
          </w:p>
        </w:tc>
      </w:tr>
      <w:tr w:rsidR="00B663B0" w:rsidRPr="00BD091A" w:rsidTr="00B51304">
        <w:tc>
          <w:tcPr>
            <w:tcW w:w="4537" w:type="dxa"/>
          </w:tcPr>
          <w:p w:rsidR="00B663B0" w:rsidRDefault="00290A47" w:rsidP="00B663B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Interview - can I bring visual aids or</w:t>
            </w:r>
            <w:r w:rsidR="00B663B0">
              <w:rPr>
                <w:rFonts w:asciiTheme="minorHAnsi" w:hAnsiTheme="minorHAnsi"/>
                <w:sz w:val="22"/>
                <w:szCs w:val="22"/>
              </w:rPr>
              <w:t xml:space="preserve"> prepare a </w:t>
            </w:r>
            <w:r>
              <w:rPr>
                <w:rFonts w:asciiTheme="minorHAnsi" w:hAnsiTheme="minorHAnsi"/>
                <w:sz w:val="22"/>
                <w:szCs w:val="22"/>
              </w:rPr>
              <w:t>PowerPoint</w:t>
            </w:r>
            <w:r w:rsidR="00B663B0">
              <w:rPr>
                <w:rFonts w:asciiTheme="minorHAnsi" w:hAnsiTheme="minorHAnsi"/>
                <w:sz w:val="22"/>
                <w:szCs w:val="22"/>
              </w:rPr>
              <w:t xml:space="preserve"> presentation </w:t>
            </w:r>
            <w:proofErr w:type="spellStart"/>
            <w:r w:rsidR="00B663B0">
              <w:rPr>
                <w:rFonts w:asciiTheme="minorHAnsi" w:hAnsiTheme="minorHAnsi"/>
                <w:sz w:val="22"/>
                <w:szCs w:val="22"/>
              </w:rPr>
              <w:t>etc</w:t>
            </w:r>
            <w:proofErr w:type="spellEnd"/>
            <w:r w:rsidR="00B663B0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6095" w:type="dxa"/>
          </w:tcPr>
          <w:p w:rsidR="00B663B0" w:rsidRDefault="00B663B0" w:rsidP="001073E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 panel would ask that you do not bring anything to the interview</w:t>
            </w:r>
          </w:p>
        </w:tc>
      </w:tr>
      <w:tr w:rsidR="00B663B0" w:rsidRPr="00BD091A" w:rsidTr="00B51304">
        <w:tc>
          <w:tcPr>
            <w:tcW w:w="4537" w:type="dxa"/>
          </w:tcPr>
          <w:p w:rsidR="00B663B0" w:rsidRDefault="00B663B0" w:rsidP="001073E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Interview - is accommodation available?</w:t>
            </w:r>
          </w:p>
          <w:p w:rsidR="00B663B0" w:rsidRDefault="00B663B0" w:rsidP="001073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95" w:type="dxa"/>
          </w:tcPr>
          <w:p w:rsidR="00B663B0" w:rsidRDefault="00B663B0" w:rsidP="000438C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Subject to availability, rooms may be available.</w:t>
            </w:r>
            <w:bookmarkStart w:id="0" w:name="_GoBack"/>
            <w:bookmarkEnd w:id="0"/>
          </w:p>
        </w:tc>
      </w:tr>
      <w:tr w:rsidR="00B663B0" w:rsidRPr="00BD091A" w:rsidTr="00B51304">
        <w:tc>
          <w:tcPr>
            <w:tcW w:w="4537" w:type="dxa"/>
          </w:tcPr>
          <w:p w:rsidR="00B663B0" w:rsidRDefault="00B663B0" w:rsidP="001073E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Interview Panel - can I know who is on the Panel?</w:t>
            </w:r>
          </w:p>
        </w:tc>
        <w:tc>
          <w:tcPr>
            <w:tcW w:w="6095" w:type="dxa"/>
          </w:tcPr>
          <w:p w:rsidR="00B663B0" w:rsidRDefault="00B663B0" w:rsidP="00FC7D2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All Panel members </w:t>
            </w:r>
            <w:r w:rsidRPr="000438C0">
              <w:rPr>
                <w:rFonts w:asciiTheme="minorHAnsi" w:hAnsiTheme="minorHAnsi"/>
                <w:sz w:val="22"/>
                <w:szCs w:val="22"/>
              </w:rPr>
              <w:t xml:space="preserve">are Fellows of the College from different disciplines within the overall subject area that they are judging. </w:t>
            </w:r>
          </w:p>
        </w:tc>
      </w:tr>
      <w:tr w:rsidR="00B663B0" w:rsidRPr="00BD091A" w:rsidTr="00B51304">
        <w:tc>
          <w:tcPr>
            <w:tcW w:w="4537" w:type="dxa"/>
          </w:tcPr>
          <w:p w:rsidR="00B663B0" w:rsidRDefault="00B663B0" w:rsidP="00F15C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Interview travel expenses - can I claim?</w:t>
            </w:r>
          </w:p>
          <w:p w:rsidR="00B663B0" w:rsidRDefault="00B663B0" w:rsidP="00F15C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95" w:type="dxa"/>
          </w:tcPr>
          <w:p w:rsidR="00B663B0" w:rsidRDefault="00B663B0" w:rsidP="000438C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 College is usually unable to reimburse interviewee’s travel expenses.</w:t>
            </w:r>
          </w:p>
        </w:tc>
      </w:tr>
      <w:tr w:rsidR="00290A47" w:rsidRPr="00BD091A" w:rsidTr="0053598A">
        <w:tc>
          <w:tcPr>
            <w:tcW w:w="4537" w:type="dxa"/>
          </w:tcPr>
          <w:p w:rsidR="00290A47" w:rsidRDefault="00290A47" w:rsidP="0053598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JRF funding - do I have to have funding for the full three years?</w:t>
            </w:r>
          </w:p>
        </w:tc>
        <w:tc>
          <w:tcPr>
            <w:tcW w:w="6095" w:type="dxa"/>
          </w:tcPr>
          <w:p w:rsidR="00290A47" w:rsidRDefault="00290A47" w:rsidP="0053598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No, but you must have it for the first year minimum from 1 April or 1 October 2020.</w:t>
            </w:r>
          </w:p>
        </w:tc>
      </w:tr>
      <w:tr w:rsidR="00290A47" w:rsidRPr="00BD091A" w:rsidTr="0053598A">
        <w:tc>
          <w:tcPr>
            <w:tcW w:w="4537" w:type="dxa"/>
          </w:tcPr>
          <w:p w:rsidR="00290A47" w:rsidRDefault="00290A47" w:rsidP="0053598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JRF t</w:t>
            </w:r>
            <w:r w:rsidRPr="007426A8">
              <w:rPr>
                <w:rFonts w:asciiTheme="minorHAnsi" w:hAnsiTheme="minorHAnsi"/>
                <w:sz w:val="22"/>
                <w:szCs w:val="22"/>
              </w:rPr>
              <w:t xml:space="preserve">enure - Initially tenable for one year and renewable for another two years </w:t>
            </w:r>
            <w:r>
              <w:rPr>
                <w:rFonts w:asciiTheme="minorHAnsi" w:hAnsiTheme="minorHAnsi"/>
                <w:sz w:val="22"/>
                <w:szCs w:val="22"/>
              </w:rPr>
              <w:t>from your start date</w:t>
            </w:r>
            <w:r w:rsidRPr="007426A8">
              <w:rPr>
                <w:rFonts w:asciiTheme="minorHAnsi" w:hAnsiTheme="minorHAnsi"/>
                <w:sz w:val="22"/>
                <w:szCs w:val="22"/>
              </w:rPr>
              <w:t>. Does that mean you would need to go through the selection process again next year</w:t>
            </w:r>
            <w:r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6095" w:type="dxa"/>
          </w:tcPr>
          <w:p w:rsidR="00290A47" w:rsidRDefault="00290A47" w:rsidP="0053598A">
            <w:pPr>
              <w:rPr>
                <w:rFonts w:asciiTheme="minorHAnsi" w:hAnsiTheme="minorHAnsi"/>
                <w:sz w:val="22"/>
                <w:szCs w:val="22"/>
              </w:rPr>
            </w:pPr>
            <w:r w:rsidRPr="007426A8">
              <w:rPr>
                <w:rFonts w:ascii="Calibri" w:hAnsi="Calibri"/>
                <w:sz w:val="22"/>
                <w:szCs w:val="22"/>
              </w:rPr>
              <w:t>No</w:t>
            </w:r>
            <w:r>
              <w:rPr>
                <w:rFonts w:ascii="Calibri" w:hAnsi="Calibri"/>
                <w:sz w:val="22"/>
                <w:szCs w:val="22"/>
              </w:rPr>
              <w:t>, i</w:t>
            </w:r>
            <w:r w:rsidRPr="007426A8">
              <w:rPr>
                <w:rFonts w:ascii="Calibri" w:hAnsi="Calibri"/>
                <w:sz w:val="22"/>
                <w:szCs w:val="22"/>
              </w:rPr>
              <w:t>t is for the one year in the first instance</w:t>
            </w:r>
            <w:r>
              <w:rPr>
                <w:rFonts w:ascii="Calibri" w:hAnsi="Calibri"/>
                <w:sz w:val="22"/>
                <w:szCs w:val="22"/>
              </w:rPr>
              <w:t>; however</w:t>
            </w:r>
            <w:r w:rsidRPr="007426A8">
              <w:rPr>
                <w:rFonts w:ascii="Calibri" w:hAnsi="Calibri"/>
                <w:sz w:val="22"/>
                <w:szCs w:val="22"/>
              </w:rPr>
              <w:t xml:space="preserve"> if you have funding in place and you are happy to continue, no selection process for the 2nd and 3rd year. It allows those without funding in the lat</w:t>
            </w:r>
            <w:r>
              <w:rPr>
                <w:rFonts w:ascii="Calibri" w:hAnsi="Calibri"/>
                <w:sz w:val="22"/>
                <w:szCs w:val="22"/>
              </w:rPr>
              <w:t>t</w:t>
            </w:r>
            <w:r w:rsidRPr="007426A8">
              <w:rPr>
                <w:rFonts w:ascii="Calibri" w:hAnsi="Calibri"/>
                <w:sz w:val="22"/>
                <w:szCs w:val="22"/>
              </w:rPr>
              <w:t>er years to secure funding at a later stage.</w:t>
            </w:r>
          </w:p>
        </w:tc>
      </w:tr>
      <w:tr w:rsidR="00B663B0" w:rsidRPr="00BD091A" w:rsidTr="00B51304">
        <w:tc>
          <w:tcPr>
            <w:tcW w:w="4537" w:type="dxa"/>
          </w:tcPr>
          <w:p w:rsidR="00B663B0" w:rsidRDefault="00B663B0" w:rsidP="00B663B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JRF duties of  Junior Research Fellows</w:t>
            </w:r>
          </w:p>
        </w:tc>
        <w:tc>
          <w:tcPr>
            <w:tcW w:w="6095" w:type="dxa"/>
          </w:tcPr>
          <w:p w:rsidR="00B663B0" w:rsidRDefault="00B663B0" w:rsidP="001073E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Minimum - Regular attendance at Governing Body meetings which are scheduled five times a year. Apologies must be sent to the College Secretary.</w:t>
            </w:r>
          </w:p>
          <w:p w:rsidR="00B663B0" w:rsidRDefault="00B663B0" w:rsidP="001073E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Expectation of being part of the academic and social life of the College; joining committees, giving and attending talks etc.</w:t>
            </w:r>
          </w:p>
        </w:tc>
      </w:tr>
      <w:tr w:rsidR="00B663B0" w:rsidRPr="00BD091A" w:rsidTr="00B51304">
        <w:tc>
          <w:tcPr>
            <w:tcW w:w="4537" w:type="dxa"/>
          </w:tcPr>
          <w:p w:rsidR="00B663B0" w:rsidRPr="007426A8" w:rsidRDefault="00B663B0" w:rsidP="0055603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JRF teaching - is there any expectation during the tenure of a JRF?</w:t>
            </w:r>
          </w:p>
        </w:tc>
        <w:tc>
          <w:tcPr>
            <w:tcW w:w="6095" w:type="dxa"/>
          </w:tcPr>
          <w:p w:rsidR="00B663B0" w:rsidRPr="007426A8" w:rsidRDefault="00B663B0" w:rsidP="0004686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No, however there is an expectation of contribution to the College, such as joining Graduate Mentoring Scheme</w:t>
            </w:r>
            <w:r w:rsidR="00A604A0">
              <w:rPr>
                <w:rFonts w:ascii="Calibri" w:hAnsi="Calibri"/>
                <w:sz w:val="22"/>
                <w:szCs w:val="22"/>
              </w:rPr>
              <w:t xml:space="preserve"> and </w:t>
            </w:r>
            <w:r w:rsidR="00290A47">
              <w:rPr>
                <w:rFonts w:ascii="Calibri" w:hAnsi="Calibri"/>
                <w:sz w:val="22"/>
                <w:szCs w:val="22"/>
              </w:rPr>
              <w:t>the possibility of undertaking supervisions, as required.</w:t>
            </w:r>
          </w:p>
        </w:tc>
      </w:tr>
    </w:tbl>
    <w:p w:rsidR="00E80939" w:rsidRDefault="00E4296F" w:rsidP="00E80939">
      <w:pP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*</w:t>
      </w:r>
      <w:r w:rsidRPr="00BD091A">
        <w:rPr>
          <w:rFonts w:asciiTheme="minorHAnsi" w:hAnsiTheme="minorHAnsi"/>
          <w:sz w:val="22"/>
          <w:szCs w:val="22"/>
        </w:rPr>
        <w:t>PhD</w:t>
      </w:r>
      <w:r>
        <w:rPr>
          <w:rFonts w:asciiTheme="minorHAnsi" w:hAnsiTheme="minorHAnsi"/>
          <w:sz w:val="22"/>
          <w:szCs w:val="22"/>
        </w:rPr>
        <w:t xml:space="preserve"> (or equivalent qualification)</w:t>
      </w:r>
    </w:p>
    <w:p w:rsidR="00E80939" w:rsidRPr="00243C19" w:rsidRDefault="00E80939" w:rsidP="00E80939">
      <w:pPr>
        <w:rPr>
          <w:rFonts w:asciiTheme="minorHAnsi" w:hAnsiTheme="minorHAnsi"/>
          <w:color w:val="000000"/>
        </w:rPr>
      </w:pPr>
    </w:p>
    <w:sectPr w:rsidR="00E80939" w:rsidRPr="00243C19" w:rsidSect="00B51304">
      <w:footerReference w:type="default" r:id="rId8"/>
      <w:pgSz w:w="11906" w:h="16838"/>
      <w:pgMar w:top="993" w:right="144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3E5" w:rsidRDefault="001073E5" w:rsidP="001073E5">
      <w:r>
        <w:separator/>
      </w:r>
    </w:p>
  </w:endnote>
  <w:endnote w:type="continuationSeparator" w:id="0">
    <w:p w:rsidR="001073E5" w:rsidRDefault="001073E5" w:rsidP="00107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3E5" w:rsidRPr="001073E5" w:rsidRDefault="00290A47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>Aug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3E5" w:rsidRDefault="001073E5" w:rsidP="001073E5">
      <w:r>
        <w:separator/>
      </w:r>
    </w:p>
  </w:footnote>
  <w:footnote w:type="continuationSeparator" w:id="0">
    <w:p w:rsidR="001073E5" w:rsidRDefault="001073E5" w:rsidP="00107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39"/>
    <w:rsid w:val="000438C0"/>
    <w:rsid w:val="00046867"/>
    <w:rsid w:val="001073E5"/>
    <w:rsid w:val="001513F9"/>
    <w:rsid w:val="00162DFB"/>
    <w:rsid w:val="00243C19"/>
    <w:rsid w:val="00290A47"/>
    <w:rsid w:val="003857C5"/>
    <w:rsid w:val="003F6060"/>
    <w:rsid w:val="00556032"/>
    <w:rsid w:val="00576D6B"/>
    <w:rsid w:val="00636089"/>
    <w:rsid w:val="00661E0B"/>
    <w:rsid w:val="007426A8"/>
    <w:rsid w:val="007C77D6"/>
    <w:rsid w:val="008A3AB0"/>
    <w:rsid w:val="00A604A0"/>
    <w:rsid w:val="00AB7FD3"/>
    <w:rsid w:val="00AE5477"/>
    <w:rsid w:val="00B51304"/>
    <w:rsid w:val="00B663B0"/>
    <w:rsid w:val="00BC183A"/>
    <w:rsid w:val="00BC6D02"/>
    <w:rsid w:val="00BD091A"/>
    <w:rsid w:val="00C152BF"/>
    <w:rsid w:val="00C41588"/>
    <w:rsid w:val="00CA7D91"/>
    <w:rsid w:val="00CC0AA0"/>
    <w:rsid w:val="00D15034"/>
    <w:rsid w:val="00D72F94"/>
    <w:rsid w:val="00D9570C"/>
    <w:rsid w:val="00E4296F"/>
    <w:rsid w:val="00E80939"/>
    <w:rsid w:val="00ED18A1"/>
    <w:rsid w:val="00EE6A20"/>
    <w:rsid w:val="00F15C9C"/>
    <w:rsid w:val="00FC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2215D"/>
  <w15:docId w15:val="{F443F46A-83E0-462E-81D2-DEFF8CE8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939"/>
    <w:pPr>
      <w:spacing w:after="0" w:line="240" w:lineRule="auto"/>
    </w:pPr>
    <w:rPr>
      <w:rFonts w:ascii="Antique Olive" w:eastAsia="Times New Roman" w:hAnsi="Antique Olive" w:cs="Times New Roman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51304"/>
    <w:pPr>
      <w:tabs>
        <w:tab w:val="left" w:pos="-720"/>
        <w:tab w:val="left" w:pos="1224"/>
        <w:tab w:val="left" w:pos="2856"/>
        <w:tab w:val="left" w:pos="4488"/>
        <w:tab w:val="left" w:pos="6834"/>
      </w:tabs>
      <w:suppressAutoHyphens/>
      <w:jc w:val="center"/>
    </w:pPr>
    <w:rPr>
      <w:rFonts w:ascii="Times New Roman" w:hAnsi="Times New Roman"/>
      <w:b/>
      <w:sz w:val="22"/>
    </w:rPr>
  </w:style>
  <w:style w:type="character" w:customStyle="1" w:styleId="TitleChar">
    <w:name w:val="Title Char"/>
    <w:basedOn w:val="DefaultParagraphFont"/>
    <w:link w:val="Title"/>
    <w:rsid w:val="00B51304"/>
    <w:rPr>
      <w:rFonts w:ascii="Times New Roman" w:eastAsia="Times New Roman" w:hAnsi="Times New Roman" w:cs="Times New Roman"/>
      <w:b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1073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3E5"/>
    <w:rPr>
      <w:rFonts w:ascii="Antique Olive" w:eastAsia="Times New Roman" w:hAnsi="Antique Olive" w:cs="Times New Roman"/>
      <w:sz w:val="24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073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3E5"/>
    <w:rPr>
      <w:rFonts w:ascii="Antique Olive" w:eastAsia="Times New Roman" w:hAnsi="Antique Olive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66C10-260C-4D1D-A337-52D87D28D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Searle</dc:creator>
  <cp:lastModifiedBy>Michelle Searle</cp:lastModifiedBy>
  <cp:revision>8</cp:revision>
  <cp:lastPrinted>2018-08-24T12:03:00Z</cp:lastPrinted>
  <dcterms:created xsi:type="dcterms:W3CDTF">2018-08-24T11:33:00Z</dcterms:created>
  <dcterms:modified xsi:type="dcterms:W3CDTF">2019-08-30T14:05:00Z</dcterms:modified>
</cp:coreProperties>
</file>